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28" w:rsidRDefault="00E31DFC">
      <w:r>
        <w:rPr>
          <w:noProof/>
          <w:lang w:eastAsia="ru-RU"/>
        </w:rPr>
        <w:drawing>
          <wp:inline distT="0" distB="0" distL="0" distR="0">
            <wp:extent cx="5940425" cy="2376170"/>
            <wp:effectExtent l="0" t="0" r="3175" b="5080"/>
            <wp:docPr id="1" name="Рисунок 1" descr="https://o-es.ru/wp-content/uploads/2019/11/sm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-es.ru/wp-content/uploads/2019/11/sma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FC" w:rsidRDefault="00E31DFC"/>
    <w:p w:rsidR="00E31DFC" w:rsidRPr="00E31DFC" w:rsidRDefault="00E31DFC" w:rsidP="00E31DFC">
      <w:pPr>
        <w:spacing w:before="480" w:after="199" w:line="240" w:lineRule="auto"/>
        <w:outlineLvl w:val="1"/>
        <w:rPr>
          <w:rFonts w:ascii="Tahoma" w:eastAsia="Times New Roman" w:hAnsi="Tahoma" w:cs="Tahoma"/>
          <w:caps/>
          <w:color w:val="3EABFF"/>
          <w:spacing w:val="30"/>
          <w:sz w:val="36"/>
          <w:szCs w:val="36"/>
          <w:lang w:eastAsia="ru-RU"/>
        </w:rPr>
      </w:pPr>
      <w:r w:rsidRPr="00E31DFC">
        <w:rPr>
          <w:rFonts w:ascii="Tahoma" w:eastAsia="Times New Roman" w:hAnsi="Tahoma" w:cs="Tahoma"/>
          <w:caps/>
          <w:color w:val="3EABFF"/>
          <w:spacing w:val="30"/>
          <w:sz w:val="36"/>
          <w:szCs w:val="36"/>
          <w:lang w:eastAsia="ru-RU"/>
        </w:rPr>
        <w:t>КАК РАБОТАЮТ SMART-ЦЕЛИ</w:t>
      </w:r>
    </w:p>
    <w:p w:rsidR="00E31DFC" w:rsidRPr="00E31DFC" w:rsidRDefault="00E31DFC" w:rsidP="00E31DFC">
      <w:pPr>
        <w:spacing w:after="240" w:line="240" w:lineRule="auto"/>
        <w:rPr>
          <w:rFonts w:ascii="Tahoma" w:eastAsia="Times New Roman" w:hAnsi="Tahoma" w:cs="Tahoma"/>
          <w:color w:val="2A2928"/>
          <w:sz w:val="24"/>
          <w:szCs w:val="24"/>
          <w:lang w:eastAsia="ru-RU"/>
        </w:rPr>
      </w:pPr>
      <w:r w:rsidRPr="00E31DFC">
        <w:rPr>
          <w:rFonts w:ascii="Tahoma" w:eastAsia="Times New Roman" w:hAnsi="Tahoma" w:cs="Tahoma"/>
          <w:color w:val="2A2928"/>
          <w:sz w:val="24"/>
          <w:szCs w:val="24"/>
          <w:lang w:eastAsia="ru-RU"/>
        </w:rPr>
        <w:t>Каждая буква в акрониме SMART фокусируется на разных аспектах в достижении желаемого результата. Не имеет значения, связаны ли ваши цели с бизнесом или относятся к какому-то аспекту вашей личной жизни. Если вы их запишете, это поможет вам их достичь. А использование SMART-формулы во время написания целей гарантирует, что вы не пропустите ни одной важной детали.</w:t>
      </w:r>
    </w:p>
    <w:p w:rsidR="00E31DFC" w:rsidRPr="00E31DFC" w:rsidRDefault="00E31DFC" w:rsidP="00E31DFC">
      <w:pPr>
        <w:spacing w:after="240" w:line="240" w:lineRule="auto"/>
        <w:rPr>
          <w:rFonts w:ascii="Tahoma" w:eastAsia="Times New Roman" w:hAnsi="Tahoma" w:cs="Tahoma"/>
          <w:color w:val="2A2928"/>
          <w:sz w:val="24"/>
          <w:szCs w:val="24"/>
          <w:lang w:eastAsia="ru-RU"/>
        </w:rPr>
      </w:pPr>
      <w:r w:rsidRPr="00E31DFC">
        <w:rPr>
          <w:rFonts w:ascii="Tahoma" w:eastAsia="Times New Roman" w:hAnsi="Tahoma" w:cs="Tahoma"/>
          <w:color w:val="2A2928"/>
          <w:sz w:val="24"/>
          <w:szCs w:val="24"/>
          <w:lang w:eastAsia="ru-RU"/>
        </w:rPr>
        <w:t>Вот как каждая буква в SMART-цели помогает вам сосредоточить усилия на достижении результата:</w:t>
      </w:r>
    </w:p>
    <w:p w:rsidR="00E31DFC" w:rsidRPr="00E31DFC" w:rsidRDefault="00E31DFC" w:rsidP="00E31DFC">
      <w:pPr>
        <w:spacing w:after="240" w:line="240" w:lineRule="auto"/>
        <w:rPr>
          <w:rFonts w:ascii="Tahoma" w:eastAsia="Times New Roman" w:hAnsi="Tahoma" w:cs="Tahoma"/>
          <w:color w:val="2A2928"/>
          <w:sz w:val="24"/>
          <w:szCs w:val="24"/>
          <w:lang w:eastAsia="ru-RU"/>
        </w:rPr>
      </w:pPr>
      <w:r w:rsidRPr="00E31DFC">
        <w:rPr>
          <w:rFonts w:ascii="Tahoma" w:eastAsia="Times New Roman" w:hAnsi="Tahoma" w:cs="Tahoma"/>
          <w:b/>
          <w:bCs/>
          <w:color w:val="2A2928"/>
          <w:sz w:val="24"/>
          <w:szCs w:val="24"/>
          <w:lang w:eastAsia="ru-RU"/>
        </w:rPr>
        <w:t>S = Конкретная (</w:t>
      </w:r>
      <w:proofErr w:type="spellStart"/>
      <w:r w:rsidRPr="00E31DFC">
        <w:rPr>
          <w:rFonts w:ascii="Tahoma" w:eastAsia="Times New Roman" w:hAnsi="Tahoma" w:cs="Tahoma"/>
          <w:b/>
          <w:bCs/>
          <w:color w:val="2A2928"/>
          <w:sz w:val="24"/>
          <w:szCs w:val="24"/>
          <w:lang w:eastAsia="ru-RU"/>
        </w:rPr>
        <w:t>Specific</w:t>
      </w:r>
      <w:proofErr w:type="spellEnd"/>
      <w:r w:rsidRPr="00E31DFC">
        <w:rPr>
          <w:rFonts w:ascii="Tahoma" w:eastAsia="Times New Roman" w:hAnsi="Tahoma" w:cs="Tahoma"/>
          <w:b/>
          <w:bCs/>
          <w:color w:val="2A2928"/>
          <w:sz w:val="24"/>
          <w:szCs w:val="24"/>
          <w:lang w:eastAsia="ru-RU"/>
        </w:rPr>
        <w:t>)</w:t>
      </w:r>
    </w:p>
    <w:p w:rsidR="00E31DFC" w:rsidRPr="00E31DFC" w:rsidRDefault="00E31DFC" w:rsidP="00E31DFC">
      <w:pPr>
        <w:spacing w:after="240" w:line="240" w:lineRule="auto"/>
        <w:rPr>
          <w:rFonts w:ascii="Tahoma" w:eastAsia="Times New Roman" w:hAnsi="Tahoma" w:cs="Tahoma"/>
          <w:color w:val="2A2928"/>
          <w:sz w:val="24"/>
          <w:szCs w:val="24"/>
          <w:lang w:eastAsia="ru-RU"/>
        </w:rPr>
      </w:pPr>
      <w:r w:rsidRPr="00E31DFC">
        <w:rPr>
          <w:rFonts w:ascii="Tahoma" w:eastAsia="Times New Roman" w:hAnsi="Tahoma" w:cs="Tahoma"/>
          <w:color w:val="2A2928"/>
          <w:sz w:val="24"/>
          <w:szCs w:val="24"/>
          <w:lang w:eastAsia="ru-RU"/>
        </w:rPr>
        <w:t>Буква S обозначает «конкретный». Она должна напоминать вам о том, что вы хотите сделать, используя слова-действия. Например, вместо того, чтобы говорить: «Я хочу больше клиентов», можно сказать: «Я собираюсь зарегистрировать четырех новых клиентов». Будьте конкретны, используйте глаголы действия — это сфокусирует вас на том, что именно нужно делать.</w:t>
      </w:r>
    </w:p>
    <w:p w:rsidR="00E31DFC" w:rsidRPr="00E31DFC" w:rsidRDefault="00E31DFC" w:rsidP="00E31DFC">
      <w:pPr>
        <w:spacing w:after="240" w:line="240" w:lineRule="auto"/>
        <w:rPr>
          <w:rFonts w:ascii="Tahoma" w:eastAsia="Times New Roman" w:hAnsi="Tahoma" w:cs="Tahoma"/>
          <w:color w:val="2A2928"/>
          <w:sz w:val="24"/>
          <w:szCs w:val="24"/>
          <w:lang w:eastAsia="ru-RU"/>
        </w:rPr>
      </w:pPr>
      <w:r w:rsidRPr="00E31DFC">
        <w:rPr>
          <w:rFonts w:ascii="Tahoma" w:eastAsia="Times New Roman" w:hAnsi="Tahoma" w:cs="Tahoma"/>
          <w:b/>
          <w:bCs/>
          <w:color w:val="2A2928"/>
          <w:sz w:val="24"/>
          <w:szCs w:val="24"/>
          <w:lang w:eastAsia="ru-RU"/>
        </w:rPr>
        <w:t>M = Измеримая (</w:t>
      </w:r>
      <w:proofErr w:type="spellStart"/>
      <w:r w:rsidRPr="00E31DFC">
        <w:rPr>
          <w:rFonts w:ascii="Tahoma" w:eastAsia="Times New Roman" w:hAnsi="Tahoma" w:cs="Tahoma"/>
          <w:b/>
          <w:bCs/>
          <w:color w:val="2A2928"/>
          <w:sz w:val="24"/>
          <w:szCs w:val="24"/>
          <w:lang w:eastAsia="ru-RU"/>
        </w:rPr>
        <w:t>Measurable</w:t>
      </w:r>
      <w:proofErr w:type="spellEnd"/>
      <w:r w:rsidRPr="00E31DFC">
        <w:rPr>
          <w:rFonts w:ascii="Tahoma" w:eastAsia="Times New Roman" w:hAnsi="Tahoma" w:cs="Tahoma"/>
          <w:b/>
          <w:bCs/>
          <w:color w:val="2A2928"/>
          <w:sz w:val="24"/>
          <w:szCs w:val="24"/>
          <w:lang w:eastAsia="ru-RU"/>
        </w:rPr>
        <w:t>)</w:t>
      </w:r>
    </w:p>
    <w:p w:rsidR="00E31DFC" w:rsidRPr="00E31DFC" w:rsidRDefault="00E31DFC" w:rsidP="00E31DFC">
      <w:pPr>
        <w:spacing w:after="240" w:line="240" w:lineRule="auto"/>
        <w:rPr>
          <w:rFonts w:ascii="Tahoma" w:eastAsia="Times New Roman" w:hAnsi="Tahoma" w:cs="Tahoma"/>
          <w:color w:val="2A2928"/>
          <w:sz w:val="24"/>
          <w:szCs w:val="24"/>
          <w:lang w:eastAsia="ru-RU"/>
        </w:rPr>
      </w:pPr>
      <w:r w:rsidRPr="00E31DFC">
        <w:rPr>
          <w:rFonts w:ascii="Tahoma" w:eastAsia="Times New Roman" w:hAnsi="Tahoma" w:cs="Tahoma"/>
          <w:color w:val="2A2928"/>
          <w:sz w:val="24"/>
          <w:szCs w:val="24"/>
          <w:lang w:eastAsia="ru-RU"/>
        </w:rPr>
        <w:t>Буква М в акрониме SMART помогает количественно оценить ваши усилия. В приведенном выше примере вы могли бы сказать, что хотите привлечь новых клиентов. Добавив число четыре, вы получаете измерение, которое поможет вам направить свои усилия и отследить прогресс в достижении цели.</w:t>
      </w:r>
    </w:p>
    <w:p w:rsidR="00E31DFC" w:rsidRPr="00E31DFC" w:rsidRDefault="00E31DFC" w:rsidP="00E31DFC">
      <w:pPr>
        <w:spacing w:after="240" w:line="240" w:lineRule="auto"/>
        <w:rPr>
          <w:rFonts w:ascii="Tahoma" w:eastAsia="Times New Roman" w:hAnsi="Tahoma" w:cs="Tahoma"/>
          <w:color w:val="2A2928"/>
          <w:sz w:val="24"/>
          <w:szCs w:val="24"/>
          <w:lang w:eastAsia="ru-RU"/>
        </w:rPr>
      </w:pPr>
      <w:r w:rsidRPr="00E31DFC">
        <w:rPr>
          <w:rFonts w:ascii="Tahoma" w:eastAsia="Times New Roman" w:hAnsi="Tahoma" w:cs="Tahoma"/>
          <w:b/>
          <w:bCs/>
          <w:color w:val="2A2928"/>
          <w:sz w:val="24"/>
          <w:szCs w:val="24"/>
          <w:lang w:eastAsia="ru-RU"/>
        </w:rPr>
        <w:t>A = Достижимая (</w:t>
      </w:r>
      <w:proofErr w:type="spellStart"/>
      <w:r w:rsidRPr="00E31DFC">
        <w:rPr>
          <w:rFonts w:ascii="Tahoma" w:eastAsia="Times New Roman" w:hAnsi="Tahoma" w:cs="Tahoma"/>
          <w:b/>
          <w:bCs/>
          <w:color w:val="2A2928"/>
          <w:sz w:val="24"/>
          <w:szCs w:val="24"/>
          <w:lang w:eastAsia="ru-RU"/>
        </w:rPr>
        <w:t>Achievable</w:t>
      </w:r>
      <w:proofErr w:type="spellEnd"/>
      <w:r w:rsidRPr="00E31DFC">
        <w:rPr>
          <w:rFonts w:ascii="Tahoma" w:eastAsia="Times New Roman" w:hAnsi="Tahoma" w:cs="Tahoma"/>
          <w:b/>
          <w:bCs/>
          <w:color w:val="2A2928"/>
          <w:sz w:val="24"/>
          <w:szCs w:val="24"/>
          <w:lang w:eastAsia="ru-RU"/>
        </w:rPr>
        <w:t>)</w:t>
      </w:r>
    </w:p>
    <w:p w:rsidR="00E31DFC" w:rsidRPr="00E31DFC" w:rsidRDefault="00E31DFC" w:rsidP="00E31DFC">
      <w:pPr>
        <w:spacing w:after="240" w:line="240" w:lineRule="auto"/>
        <w:rPr>
          <w:rFonts w:ascii="Tahoma" w:eastAsia="Times New Roman" w:hAnsi="Tahoma" w:cs="Tahoma"/>
          <w:color w:val="2A2928"/>
          <w:sz w:val="24"/>
          <w:szCs w:val="24"/>
          <w:lang w:eastAsia="ru-RU"/>
        </w:rPr>
      </w:pPr>
      <w:r w:rsidRPr="00E31DFC">
        <w:rPr>
          <w:rFonts w:ascii="Tahoma" w:eastAsia="Times New Roman" w:hAnsi="Tahoma" w:cs="Tahoma"/>
          <w:color w:val="2A2928"/>
          <w:sz w:val="24"/>
          <w:szCs w:val="24"/>
          <w:lang w:eastAsia="ru-RU"/>
        </w:rPr>
        <w:t>Буква A означает достижимость целей. Она помогает вам убедиться в том, что цель находится в пределах досягаемости. Исследования показывают, что люди мотивированы целями, но они должны быть реальными. Например, четыре новых клиента — это вполне достижимая цель.</w:t>
      </w:r>
    </w:p>
    <w:p w:rsidR="00E31DFC" w:rsidRPr="00E31DFC" w:rsidRDefault="00E31DFC" w:rsidP="00E31DFC">
      <w:pPr>
        <w:spacing w:after="240" w:line="240" w:lineRule="auto"/>
        <w:rPr>
          <w:rFonts w:ascii="Tahoma" w:eastAsia="Times New Roman" w:hAnsi="Tahoma" w:cs="Tahoma"/>
          <w:color w:val="2A2928"/>
          <w:sz w:val="24"/>
          <w:szCs w:val="24"/>
          <w:lang w:eastAsia="ru-RU"/>
        </w:rPr>
      </w:pPr>
      <w:r w:rsidRPr="00E31DFC">
        <w:rPr>
          <w:rFonts w:ascii="Tahoma" w:eastAsia="Times New Roman" w:hAnsi="Tahoma" w:cs="Tahoma"/>
          <w:b/>
          <w:bCs/>
          <w:color w:val="2A2928"/>
          <w:sz w:val="24"/>
          <w:szCs w:val="24"/>
          <w:lang w:eastAsia="ru-RU"/>
        </w:rPr>
        <w:t>R = Актуальная (Relevant)</w:t>
      </w:r>
    </w:p>
    <w:p w:rsidR="00E31DFC" w:rsidRPr="00E31DFC" w:rsidRDefault="00E31DFC" w:rsidP="00E31DFC">
      <w:pPr>
        <w:spacing w:after="240" w:line="240" w:lineRule="auto"/>
        <w:rPr>
          <w:rFonts w:ascii="Tahoma" w:eastAsia="Times New Roman" w:hAnsi="Tahoma" w:cs="Tahoma"/>
          <w:color w:val="2A2928"/>
          <w:sz w:val="24"/>
          <w:szCs w:val="24"/>
          <w:lang w:eastAsia="ru-RU"/>
        </w:rPr>
      </w:pPr>
      <w:r w:rsidRPr="00E31DFC">
        <w:rPr>
          <w:rFonts w:ascii="Tahoma" w:eastAsia="Times New Roman" w:hAnsi="Tahoma" w:cs="Tahoma"/>
          <w:color w:val="2A2928"/>
          <w:sz w:val="24"/>
          <w:szCs w:val="24"/>
          <w:lang w:eastAsia="ru-RU"/>
        </w:rPr>
        <w:lastRenderedPageBreak/>
        <w:t>«R» означает «актуальный», и именно этот пункт должен побудить вас бросить вызов собственному способу мышления. Если общий бизнес-план требует повышения прибыльности, возможно, новые клиенты — это не то, что вам нужно. Возможно, вам придется сосредоточиться на том, как удержать уже существующих клиентов, на повышении цен или снижении расходов. Убедитесь в том, что поставленная цель актуальна для вас.</w:t>
      </w:r>
    </w:p>
    <w:p w:rsidR="00E31DFC" w:rsidRPr="00E31DFC" w:rsidRDefault="00E31DFC" w:rsidP="00E31DFC">
      <w:pPr>
        <w:spacing w:after="240" w:line="240" w:lineRule="auto"/>
        <w:rPr>
          <w:rFonts w:ascii="Tahoma" w:eastAsia="Times New Roman" w:hAnsi="Tahoma" w:cs="Tahoma"/>
          <w:color w:val="2A2928"/>
          <w:sz w:val="24"/>
          <w:szCs w:val="24"/>
          <w:lang w:eastAsia="ru-RU"/>
        </w:rPr>
      </w:pPr>
      <w:r w:rsidRPr="00E31DFC">
        <w:rPr>
          <w:rFonts w:ascii="Tahoma" w:eastAsia="Times New Roman" w:hAnsi="Tahoma" w:cs="Tahoma"/>
          <w:b/>
          <w:bCs/>
          <w:color w:val="2A2928"/>
          <w:sz w:val="24"/>
          <w:szCs w:val="24"/>
          <w:lang w:eastAsia="ru-RU"/>
        </w:rPr>
        <w:t>T = Ограниченная во времени (</w:t>
      </w:r>
      <w:proofErr w:type="spellStart"/>
      <w:r w:rsidRPr="00E31DFC">
        <w:rPr>
          <w:rFonts w:ascii="Tahoma" w:eastAsia="Times New Roman" w:hAnsi="Tahoma" w:cs="Tahoma"/>
          <w:b/>
          <w:bCs/>
          <w:color w:val="2A2928"/>
          <w:sz w:val="24"/>
          <w:szCs w:val="24"/>
          <w:lang w:eastAsia="ru-RU"/>
        </w:rPr>
        <w:t>Time</w:t>
      </w:r>
      <w:proofErr w:type="spellEnd"/>
      <w:r w:rsidRPr="00E31DFC">
        <w:rPr>
          <w:rFonts w:ascii="Tahoma" w:eastAsia="Times New Roman" w:hAnsi="Tahoma" w:cs="Tahoma"/>
          <w:b/>
          <w:bCs/>
          <w:color w:val="2A2928"/>
          <w:sz w:val="24"/>
          <w:szCs w:val="24"/>
          <w:lang w:eastAsia="ru-RU"/>
        </w:rPr>
        <w:t>—</w:t>
      </w:r>
      <w:proofErr w:type="spellStart"/>
      <w:r w:rsidRPr="00E31DFC">
        <w:rPr>
          <w:rFonts w:ascii="Tahoma" w:eastAsia="Times New Roman" w:hAnsi="Tahoma" w:cs="Tahoma"/>
          <w:b/>
          <w:bCs/>
          <w:color w:val="2A2928"/>
          <w:sz w:val="24"/>
          <w:szCs w:val="24"/>
          <w:lang w:eastAsia="ru-RU"/>
        </w:rPr>
        <w:t>bound</w:t>
      </w:r>
      <w:proofErr w:type="spellEnd"/>
      <w:r w:rsidRPr="00E31DFC">
        <w:rPr>
          <w:rFonts w:ascii="Tahoma" w:eastAsia="Times New Roman" w:hAnsi="Tahoma" w:cs="Tahoma"/>
          <w:b/>
          <w:bCs/>
          <w:color w:val="2A2928"/>
          <w:sz w:val="24"/>
          <w:szCs w:val="24"/>
          <w:lang w:eastAsia="ru-RU"/>
        </w:rPr>
        <w:t>)</w:t>
      </w:r>
    </w:p>
    <w:p w:rsidR="00E31DFC" w:rsidRPr="00E31DFC" w:rsidRDefault="00E31DFC" w:rsidP="00E31DFC">
      <w:pPr>
        <w:spacing w:after="240" w:line="240" w:lineRule="auto"/>
        <w:rPr>
          <w:rFonts w:ascii="Tahoma" w:eastAsia="Times New Roman" w:hAnsi="Tahoma" w:cs="Tahoma"/>
          <w:color w:val="2A2928"/>
          <w:sz w:val="24"/>
          <w:szCs w:val="24"/>
          <w:lang w:eastAsia="ru-RU"/>
        </w:rPr>
      </w:pPr>
      <w:r w:rsidRPr="00E31DFC">
        <w:rPr>
          <w:rFonts w:ascii="Tahoma" w:eastAsia="Times New Roman" w:hAnsi="Tahoma" w:cs="Tahoma"/>
          <w:color w:val="2A2928"/>
          <w:sz w:val="24"/>
          <w:szCs w:val="24"/>
          <w:lang w:eastAsia="ru-RU"/>
        </w:rPr>
        <w:t>«Т» относится к временному аспекту постановки цели. Некоторые специалисты расшифровывают эту часть SMART-цели как «своевременная». Она должна напоминать вам, что необходимо установить конечную дату или временные рамки для достижения вашей цели. Четыре новых клиента — это хорошо, но если вы не установите временные рамки, то непонятно, речь идет о четырех клиентах в год или в месяц.</w:t>
      </w:r>
    </w:p>
    <w:p w:rsidR="00E31DFC" w:rsidRDefault="00813522">
      <w:r>
        <w:t>пример</w:t>
      </w:r>
    </w:p>
    <w:p w:rsidR="00813522" w:rsidRDefault="00813522" w:rsidP="00813522">
      <w:pPr>
        <w:pStyle w:val="3"/>
        <w:spacing w:before="480" w:after="199"/>
        <w:rPr>
          <w:rFonts w:ascii="Tahoma" w:hAnsi="Tahoma" w:cs="Tahoma"/>
          <w:caps/>
          <w:color w:val="3EABFF"/>
          <w:spacing w:val="30"/>
        </w:rPr>
      </w:pPr>
      <w:r>
        <w:rPr>
          <w:rFonts w:ascii="Tahoma" w:hAnsi="Tahoma" w:cs="Tahoma"/>
          <w:b/>
          <w:bCs/>
          <w:caps/>
          <w:color w:val="3EABFF"/>
          <w:spacing w:val="30"/>
        </w:rPr>
        <w:t>ПРОВЕСТИ ПЯТЬ ВЕБИНАРОВ ПО ОБУЧЕНИЮ КЛИЕНТОВ ЗА КВАРТАЛ</w:t>
      </w:r>
    </w:p>
    <w:p w:rsidR="00813522" w:rsidRDefault="00813522" w:rsidP="00813522">
      <w:pPr>
        <w:pStyle w:val="a3"/>
        <w:spacing w:before="0" w:beforeAutospacing="0" w:after="240" w:afterAutospacing="0"/>
        <w:rPr>
          <w:rFonts w:ascii="Tahoma" w:hAnsi="Tahoma" w:cs="Tahoma"/>
          <w:color w:val="2A2928"/>
        </w:rPr>
      </w:pPr>
      <w:r>
        <w:rPr>
          <w:rFonts w:ascii="Tahoma" w:hAnsi="Tahoma" w:cs="Tahoma"/>
          <w:color w:val="2A2928"/>
        </w:rPr>
        <w:t xml:space="preserve">— Запланируйте и проведите пять </w:t>
      </w:r>
      <w:proofErr w:type="spellStart"/>
      <w:r>
        <w:rPr>
          <w:rFonts w:ascii="Tahoma" w:hAnsi="Tahoma" w:cs="Tahoma"/>
          <w:color w:val="2A2928"/>
        </w:rPr>
        <w:t>вебинаров</w:t>
      </w:r>
      <w:proofErr w:type="spellEnd"/>
      <w:r>
        <w:rPr>
          <w:rFonts w:ascii="Tahoma" w:hAnsi="Tahoma" w:cs="Tahoma"/>
          <w:color w:val="2A2928"/>
        </w:rPr>
        <w:t xml:space="preserve"> по обучению клиентов за квартал, собирая при этом по 15 участников или более на одном мероприятии, получая 80% или больше положительного </w:t>
      </w:r>
      <w:proofErr w:type="spellStart"/>
      <w:r>
        <w:rPr>
          <w:rFonts w:ascii="Tahoma" w:hAnsi="Tahoma" w:cs="Tahoma"/>
          <w:color w:val="2A2928"/>
        </w:rPr>
        <w:t>фидбэка</w:t>
      </w:r>
      <w:proofErr w:type="spellEnd"/>
      <w:r>
        <w:rPr>
          <w:rFonts w:ascii="Tahoma" w:hAnsi="Tahoma" w:cs="Tahoma"/>
          <w:color w:val="2A2928"/>
        </w:rPr>
        <w:t xml:space="preserve"> на контент.</w:t>
      </w:r>
    </w:p>
    <w:p w:rsidR="00813522" w:rsidRDefault="00813522" w:rsidP="00813522">
      <w:pPr>
        <w:pStyle w:val="a3"/>
        <w:spacing w:before="0" w:beforeAutospacing="0" w:after="240" w:afterAutospacing="0"/>
        <w:rPr>
          <w:rFonts w:ascii="Tahoma" w:hAnsi="Tahoma" w:cs="Tahoma"/>
          <w:color w:val="2A2928"/>
        </w:rPr>
      </w:pPr>
      <w:r>
        <w:rPr>
          <w:rFonts w:ascii="Tahoma" w:hAnsi="Tahoma" w:cs="Tahoma"/>
          <w:color w:val="2A2928"/>
        </w:rPr>
        <w:t>Цель в примере </w:t>
      </w:r>
      <w:r>
        <w:rPr>
          <w:rStyle w:val="a4"/>
          <w:rFonts w:ascii="Tahoma" w:hAnsi="Tahoma" w:cs="Tahoma"/>
          <w:color w:val="2A2928"/>
        </w:rPr>
        <w:t>является конкретной</w:t>
      </w:r>
      <w:r>
        <w:rPr>
          <w:rFonts w:ascii="Tahoma" w:hAnsi="Tahoma" w:cs="Tahoma"/>
          <w:color w:val="2A2928"/>
        </w:rPr>
        <w:t xml:space="preserve"> (пять </w:t>
      </w:r>
      <w:proofErr w:type="spellStart"/>
      <w:r>
        <w:rPr>
          <w:rFonts w:ascii="Tahoma" w:hAnsi="Tahoma" w:cs="Tahoma"/>
          <w:color w:val="2A2928"/>
        </w:rPr>
        <w:t>вебинаров</w:t>
      </w:r>
      <w:proofErr w:type="spellEnd"/>
      <w:r>
        <w:rPr>
          <w:rFonts w:ascii="Tahoma" w:hAnsi="Tahoma" w:cs="Tahoma"/>
          <w:color w:val="2A2928"/>
        </w:rPr>
        <w:t>), </w:t>
      </w:r>
      <w:r>
        <w:rPr>
          <w:rStyle w:val="a4"/>
          <w:rFonts w:ascii="Tahoma" w:hAnsi="Tahoma" w:cs="Tahoma"/>
          <w:color w:val="2A2928"/>
        </w:rPr>
        <w:t>измеримой</w:t>
      </w:r>
      <w:r>
        <w:rPr>
          <w:rFonts w:ascii="Tahoma" w:hAnsi="Tahoma" w:cs="Tahoma"/>
          <w:color w:val="2A2928"/>
        </w:rPr>
        <w:t> (количество посетителей и уровень удовлетворенности), </w:t>
      </w:r>
      <w:r>
        <w:rPr>
          <w:rStyle w:val="a4"/>
          <w:rFonts w:ascii="Tahoma" w:hAnsi="Tahoma" w:cs="Tahoma"/>
          <w:color w:val="2A2928"/>
        </w:rPr>
        <w:t>достижимой</w:t>
      </w:r>
      <w:r>
        <w:rPr>
          <w:rFonts w:ascii="Tahoma" w:hAnsi="Tahoma" w:cs="Tahoma"/>
          <w:color w:val="2A2928"/>
        </w:rPr>
        <w:t> (ресурсы доступны), </w:t>
      </w:r>
      <w:r>
        <w:rPr>
          <w:rStyle w:val="a4"/>
          <w:rFonts w:ascii="Tahoma" w:hAnsi="Tahoma" w:cs="Tahoma"/>
          <w:color w:val="2A2928"/>
        </w:rPr>
        <w:t>актуальной</w:t>
      </w:r>
      <w:r>
        <w:rPr>
          <w:rFonts w:ascii="Tahoma" w:hAnsi="Tahoma" w:cs="Tahoma"/>
          <w:color w:val="2A2928"/>
        </w:rPr>
        <w:t> (полезным для бизнеса) и </w:t>
      </w:r>
      <w:r>
        <w:rPr>
          <w:rStyle w:val="a4"/>
          <w:rFonts w:ascii="Tahoma" w:hAnsi="Tahoma" w:cs="Tahoma"/>
          <w:color w:val="2A2928"/>
        </w:rPr>
        <w:t>ограниченной во времени</w:t>
      </w:r>
      <w:r>
        <w:rPr>
          <w:rFonts w:ascii="Tahoma" w:hAnsi="Tahoma" w:cs="Tahoma"/>
          <w:color w:val="2A2928"/>
        </w:rPr>
        <w:t> (один квартал).</w:t>
      </w:r>
    </w:p>
    <w:p w:rsidR="00813522" w:rsidRDefault="00813522" w:rsidP="00813522">
      <w:pPr>
        <w:pStyle w:val="3"/>
        <w:spacing w:before="480" w:after="199"/>
        <w:rPr>
          <w:rFonts w:ascii="Tahoma" w:hAnsi="Tahoma" w:cs="Tahoma"/>
          <w:caps/>
          <w:color w:val="3EABFF"/>
          <w:spacing w:val="30"/>
        </w:rPr>
      </w:pPr>
      <w:r>
        <w:rPr>
          <w:rFonts w:ascii="Tahoma" w:hAnsi="Tahoma" w:cs="Tahoma"/>
          <w:b/>
          <w:bCs/>
          <w:caps/>
          <w:color w:val="3EABFF"/>
          <w:spacing w:val="30"/>
        </w:rPr>
        <w:t>РАЗРАБОТАТЬ КУРС ПО ПОДГОТОВКЕ ПРЕЗЕНТАЦИЙ</w:t>
      </w:r>
    </w:p>
    <w:p w:rsidR="00813522" w:rsidRPr="00813522" w:rsidRDefault="00813522" w:rsidP="00813522">
      <w:pPr>
        <w:spacing w:after="240" w:line="240" w:lineRule="auto"/>
        <w:rPr>
          <w:rFonts w:ascii="Tahoma" w:eastAsia="Times New Roman" w:hAnsi="Tahoma" w:cs="Tahoma"/>
          <w:color w:val="2A2928"/>
          <w:sz w:val="24"/>
          <w:szCs w:val="24"/>
          <w:lang w:eastAsia="ru-RU"/>
        </w:rPr>
      </w:pPr>
      <w:r w:rsidRPr="00813522">
        <w:rPr>
          <w:rFonts w:ascii="Tahoma" w:eastAsia="Times New Roman" w:hAnsi="Tahoma" w:cs="Tahoma"/>
          <w:color w:val="2A2928"/>
          <w:sz w:val="24"/>
          <w:szCs w:val="24"/>
          <w:lang w:eastAsia="ru-RU"/>
        </w:rPr>
        <w:t>— Цель — разработать курс «Коммуникативные навыки» по работе с презентацией в течение следующих четырех недель, который бы включал в себя предварительную оценку, три часа онлайн-курсов и полдневный индивидуальный тренинг с видео, оценкой после курса и наставничеством.</w:t>
      </w:r>
    </w:p>
    <w:p w:rsidR="00813522" w:rsidRPr="00813522" w:rsidRDefault="00813522" w:rsidP="0081352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ahoma" w:eastAsia="Times New Roman" w:hAnsi="Tahoma" w:cs="Tahoma"/>
          <w:color w:val="2A2928"/>
          <w:sz w:val="24"/>
          <w:szCs w:val="24"/>
          <w:lang w:eastAsia="ru-RU"/>
        </w:rPr>
      </w:pPr>
      <w:r w:rsidRPr="00813522">
        <w:rPr>
          <w:rFonts w:ascii="Tahoma" w:eastAsia="Times New Roman" w:hAnsi="Tahoma" w:cs="Tahoma"/>
          <w:b/>
          <w:bCs/>
          <w:color w:val="2A2928"/>
          <w:sz w:val="24"/>
          <w:szCs w:val="24"/>
          <w:lang w:eastAsia="ru-RU"/>
        </w:rPr>
        <w:t>Конкретная</w:t>
      </w:r>
      <w:r w:rsidRPr="00813522">
        <w:rPr>
          <w:rFonts w:ascii="Tahoma" w:eastAsia="Times New Roman" w:hAnsi="Tahoma" w:cs="Tahoma"/>
          <w:color w:val="2A2928"/>
          <w:sz w:val="24"/>
          <w:szCs w:val="24"/>
          <w:lang w:eastAsia="ru-RU"/>
        </w:rPr>
        <w:t>: тип курса и план.</w:t>
      </w:r>
    </w:p>
    <w:p w:rsidR="00813522" w:rsidRPr="00813522" w:rsidRDefault="00813522" w:rsidP="0081352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ahoma" w:eastAsia="Times New Roman" w:hAnsi="Tahoma" w:cs="Tahoma"/>
          <w:color w:val="2A2928"/>
          <w:sz w:val="24"/>
          <w:szCs w:val="24"/>
          <w:lang w:eastAsia="ru-RU"/>
        </w:rPr>
      </w:pPr>
      <w:r w:rsidRPr="00813522">
        <w:rPr>
          <w:rFonts w:ascii="Tahoma" w:eastAsia="Times New Roman" w:hAnsi="Tahoma" w:cs="Tahoma"/>
          <w:b/>
          <w:bCs/>
          <w:color w:val="2A2928"/>
          <w:sz w:val="24"/>
          <w:szCs w:val="24"/>
          <w:lang w:eastAsia="ru-RU"/>
        </w:rPr>
        <w:t>Измеримая</w:t>
      </w:r>
      <w:r w:rsidRPr="00813522">
        <w:rPr>
          <w:rFonts w:ascii="Tahoma" w:eastAsia="Times New Roman" w:hAnsi="Tahoma" w:cs="Tahoma"/>
          <w:color w:val="2A2928"/>
          <w:sz w:val="24"/>
          <w:szCs w:val="24"/>
          <w:lang w:eastAsia="ru-RU"/>
        </w:rPr>
        <w:t>: завершение всего курса и отдельных его частей. Например, оценки являются измеримыми.</w:t>
      </w:r>
    </w:p>
    <w:p w:rsidR="00813522" w:rsidRPr="00813522" w:rsidRDefault="00813522" w:rsidP="0081352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ahoma" w:eastAsia="Times New Roman" w:hAnsi="Tahoma" w:cs="Tahoma"/>
          <w:color w:val="2A2928"/>
          <w:sz w:val="24"/>
          <w:szCs w:val="24"/>
          <w:lang w:eastAsia="ru-RU"/>
        </w:rPr>
      </w:pPr>
      <w:r w:rsidRPr="00813522">
        <w:rPr>
          <w:rFonts w:ascii="Tahoma" w:eastAsia="Times New Roman" w:hAnsi="Tahoma" w:cs="Tahoma"/>
          <w:b/>
          <w:bCs/>
          <w:color w:val="2A2928"/>
          <w:sz w:val="24"/>
          <w:szCs w:val="24"/>
          <w:lang w:eastAsia="ru-RU"/>
        </w:rPr>
        <w:t>Достижимая</w:t>
      </w:r>
      <w:r w:rsidRPr="00813522">
        <w:rPr>
          <w:rFonts w:ascii="Tahoma" w:eastAsia="Times New Roman" w:hAnsi="Tahoma" w:cs="Tahoma"/>
          <w:color w:val="2A2928"/>
          <w:sz w:val="24"/>
          <w:szCs w:val="24"/>
          <w:lang w:eastAsia="ru-RU"/>
        </w:rPr>
        <w:t>: для направления отчета A (можно делегировать его части).</w:t>
      </w:r>
    </w:p>
    <w:p w:rsidR="00813522" w:rsidRPr="00813522" w:rsidRDefault="00813522" w:rsidP="0081352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ahoma" w:eastAsia="Times New Roman" w:hAnsi="Tahoma" w:cs="Tahoma"/>
          <w:color w:val="2A2928"/>
          <w:sz w:val="24"/>
          <w:szCs w:val="24"/>
          <w:lang w:eastAsia="ru-RU"/>
        </w:rPr>
      </w:pPr>
      <w:r w:rsidRPr="00813522">
        <w:rPr>
          <w:rFonts w:ascii="Tahoma" w:eastAsia="Times New Roman" w:hAnsi="Tahoma" w:cs="Tahoma"/>
          <w:b/>
          <w:bCs/>
          <w:color w:val="2A2928"/>
          <w:sz w:val="24"/>
          <w:szCs w:val="24"/>
          <w:lang w:eastAsia="ru-RU"/>
        </w:rPr>
        <w:t>Актуальная</w:t>
      </w:r>
      <w:r w:rsidRPr="00813522">
        <w:rPr>
          <w:rFonts w:ascii="Tahoma" w:eastAsia="Times New Roman" w:hAnsi="Tahoma" w:cs="Tahoma"/>
          <w:color w:val="2A2928"/>
          <w:sz w:val="24"/>
          <w:szCs w:val="24"/>
          <w:lang w:eastAsia="ru-RU"/>
        </w:rPr>
        <w:t>: основана на предыдущем результате.</w:t>
      </w:r>
    </w:p>
    <w:p w:rsidR="00813522" w:rsidRPr="00813522" w:rsidRDefault="00813522" w:rsidP="0081352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ahoma" w:eastAsia="Times New Roman" w:hAnsi="Tahoma" w:cs="Tahoma"/>
          <w:color w:val="2A2928"/>
          <w:sz w:val="24"/>
          <w:szCs w:val="24"/>
          <w:lang w:eastAsia="ru-RU"/>
        </w:rPr>
      </w:pPr>
      <w:r w:rsidRPr="00813522">
        <w:rPr>
          <w:rFonts w:ascii="Tahoma" w:eastAsia="Times New Roman" w:hAnsi="Tahoma" w:cs="Tahoma"/>
          <w:b/>
          <w:bCs/>
          <w:color w:val="2A2928"/>
          <w:sz w:val="24"/>
          <w:szCs w:val="24"/>
          <w:lang w:eastAsia="ru-RU"/>
        </w:rPr>
        <w:t>Ограниченная во времени</w:t>
      </w:r>
      <w:r w:rsidRPr="00813522">
        <w:rPr>
          <w:rFonts w:ascii="Tahoma" w:eastAsia="Times New Roman" w:hAnsi="Tahoma" w:cs="Tahoma"/>
          <w:color w:val="2A2928"/>
          <w:sz w:val="24"/>
          <w:szCs w:val="24"/>
          <w:lang w:eastAsia="ru-RU"/>
        </w:rPr>
        <w:t>: в течение четырех недель.</w:t>
      </w:r>
    </w:p>
    <w:p w:rsidR="00813522" w:rsidRDefault="00813522">
      <w:r>
        <w:br w:type="page"/>
      </w:r>
    </w:p>
    <w:p w:rsidR="00813522" w:rsidRDefault="00813522">
      <w:r>
        <w:rPr>
          <w:noProof/>
          <w:lang w:eastAsia="ru-RU"/>
        </w:rPr>
        <w:lastRenderedPageBreak/>
        <w:drawing>
          <wp:inline distT="0" distB="0" distL="0" distR="0">
            <wp:extent cx="3810000" cy="2857500"/>
            <wp:effectExtent l="0" t="0" r="0" b="0"/>
            <wp:docPr id="2" name="Рисунок 2" descr="Матрица Эйзенхауэра как инструмент расстановки приоритетов - способ  существенно сэкономить ваше вре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трица Эйзенхауэра как инструмент расстановки приоритетов - способ  существенно сэкономить ваше врем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522" w:rsidRDefault="00813522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Матрица расстановки приорите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B85283" id="Прямоугольник 9" o:spid="_x0000_s1026" alt="Матрица расстановки приоритето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IblFDwMAAA0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813522" w:rsidRDefault="00813522">
      <w:r>
        <w:br w:type="page"/>
      </w:r>
    </w:p>
    <w:p w:rsidR="00813522" w:rsidRDefault="00813522">
      <w:r>
        <w:rPr>
          <w:noProof/>
          <w:lang w:eastAsia="ru-RU"/>
        </w:rPr>
        <w:lastRenderedPageBreak/>
        <w:drawing>
          <wp:inline distT="0" distB="0" distL="0" distR="0" wp14:anchorId="17FFD929" wp14:editId="3C6B3139">
            <wp:extent cx="5940425" cy="334010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522" w:rsidRPr="00813522" w:rsidRDefault="00813522" w:rsidP="00813522">
      <w:pPr>
        <w:numPr>
          <w:ilvl w:val="0"/>
          <w:numId w:val="2"/>
        </w:numPr>
        <w:shd w:val="clear" w:color="auto" w:fill="FAFAFA"/>
        <w:spacing w:after="0" w:line="454" w:lineRule="atLeast"/>
        <w:ind w:left="94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Матрица Эйзенхауэра. Приоритеты по матрице Эйзенхауэ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113ED6" id="Прямоугольник 3" o:spid="_x0000_s1026" alt="Матрица Эйзенхауэра. Приоритеты по матрице Эйзенхауэр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H3O1+JAMAADc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Матрица Эйзенхауэра. Приоритеты по матрице Эйзенхауэ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FDA302" id="Прямоугольник 4" o:spid="_x0000_s1026" alt="Матрица Эйзенхауэра. Приоритеты по матрице Эйзенхауэр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TlaqzJAMAADc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Матрица Эйзенхауэра. Приоритеты по матрице Эйзенхауэ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03F1F0" id="Прямоугольник 5" o:spid="_x0000_s1026" alt="Матрица Эйзенхауэра. Приоритеты по матрице Эйзенхауэр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5OZAWJAMAADc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0AF40AD" wp14:editId="0CF4CD78">
                <wp:extent cx="304800" cy="304800"/>
                <wp:effectExtent l="0" t="0" r="0" b="0"/>
                <wp:docPr id="7" name="AutoShape 9" descr="Матрица Эйзенхауэра. Приоритеты по матрице Эйзенхауэ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1CF1D" id="AutoShape 9" o:spid="_x0000_s1026" alt="Матрица Эйзенхауэра. Приоритеты по матрице Эйзенхауэр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YbkiRA0DAAAm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Матрица расстановки приорите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9B4152" id="Прямоугольник 8" o:spid="_x0000_s1026" alt="Матрица расстановки приоритето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Paw1mDwMAAA0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81352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Срочно и важно</w:t>
      </w:r>
      <w:r w:rsidRPr="008135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задачи, которые следует выполнять немедленно.</w:t>
      </w:r>
    </w:p>
    <w:p w:rsidR="00813522" w:rsidRPr="00813522" w:rsidRDefault="00813522" w:rsidP="00813522">
      <w:pPr>
        <w:numPr>
          <w:ilvl w:val="0"/>
          <w:numId w:val="2"/>
        </w:numPr>
        <w:shd w:val="clear" w:color="auto" w:fill="FAFAFA"/>
        <w:spacing w:after="0" w:line="454" w:lineRule="atLeast"/>
        <w:ind w:left="94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1352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Важно, но не срочно</w:t>
      </w:r>
      <w:r w:rsidRPr="008135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задачи, которые нужно запланировать сделать позже.</w:t>
      </w:r>
    </w:p>
    <w:p w:rsidR="00813522" w:rsidRPr="00813522" w:rsidRDefault="00813522" w:rsidP="00813522">
      <w:pPr>
        <w:numPr>
          <w:ilvl w:val="0"/>
          <w:numId w:val="2"/>
        </w:numPr>
        <w:shd w:val="clear" w:color="auto" w:fill="FAFAFA"/>
        <w:spacing w:after="0" w:line="454" w:lineRule="atLeast"/>
        <w:ind w:left="94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1352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Срочно, но не важно</w:t>
      </w:r>
      <w:r w:rsidRPr="008135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задачи, которые лучше делегировать кому-то другому.</w:t>
      </w:r>
    </w:p>
    <w:p w:rsidR="00813522" w:rsidRPr="00813522" w:rsidRDefault="00813522" w:rsidP="00813522">
      <w:pPr>
        <w:numPr>
          <w:ilvl w:val="0"/>
          <w:numId w:val="2"/>
        </w:numPr>
        <w:shd w:val="clear" w:color="auto" w:fill="FAFAFA"/>
        <w:spacing w:after="0" w:line="454" w:lineRule="atLeast"/>
        <w:ind w:left="94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1352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Ни срочно, ни важно</w:t>
      </w:r>
      <w:r w:rsidRPr="0081352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задачи, которые вы лучше не выполнять вовсе.</w:t>
      </w:r>
    </w:p>
    <w:p w:rsidR="00813522" w:rsidRDefault="00813522">
      <w:r>
        <w:br w:type="page"/>
      </w:r>
    </w:p>
    <w:p w:rsidR="00813522" w:rsidRDefault="00813522">
      <w:r>
        <w:rPr>
          <w:noProof/>
          <w:lang w:eastAsia="ru-RU"/>
        </w:rPr>
        <w:lastRenderedPageBreak/>
        <w:drawing>
          <wp:inline distT="0" distB="0" distL="0" distR="0">
            <wp:extent cx="5257800" cy="6657975"/>
            <wp:effectExtent l="0" t="0" r="0" b="9525"/>
            <wp:docPr id="11" name="Рисунок 11" descr="Матрица Эйзенхауэра: планируем свою успешность - Управление карьерой,  временем и люд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Матрица Эйзенхауэра: планируем свою успешность - Управление карьерой,  временем и людь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522" w:rsidRDefault="00813522"/>
    <w:p w:rsidR="00813522" w:rsidRDefault="00813522" w:rsidP="00813522">
      <w:pPr>
        <w:pStyle w:val="1"/>
        <w:shd w:val="clear" w:color="auto" w:fill="009FC3"/>
        <w:spacing w:before="0" w:after="144"/>
        <w:jc w:val="center"/>
        <w:rPr>
          <w:rFonts w:ascii="Helvetica" w:hAnsi="Helvetica"/>
          <w:color w:val="FFFFFF"/>
          <w:sz w:val="72"/>
          <w:szCs w:val="72"/>
        </w:rPr>
      </w:pPr>
      <w:r>
        <w:rPr>
          <w:rFonts w:ascii="Helvetica" w:hAnsi="Helvetica"/>
          <w:color w:val="FFFFFF"/>
          <w:sz w:val="72"/>
          <w:szCs w:val="72"/>
        </w:rPr>
        <w:lastRenderedPageBreak/>
        <w:t>Что такое горизонт планирования: разбираемся</w:t>
      </w:r>
    </w:p>
    <w:p w:rsidR="00813522" w:rsidRDefault="00813522" w:rsidP="00813522">
      <w:pPr>
        <w:pStyle w:val="lead"/>
        <w:shd w:val="clear" w:color="auto" w:fill="009FC3"/>
        <w:spacing w:before="0" w:beforeAutospacing="0" w:after="900" w:afterAutospacing="0"/>
        <w:jc w:val="center"/>
        <w:rPr>
          <w:rFonts w:ascii="Helvetica" w:hAnsi="Helvetica"/>
          <w:color w:val="FFFFFF"/>
          <w:sz w:val="32"/>
          <w:szCs w:val="32"/>
        </w:rPr>
      </w:pPr>
      <w:r>
        <w:rPr>
          <w:rFonts w:ascii="Helvetica" w:hAnsi="Helvetica"/>
          <w:color w:val="FFFFFF"/>
          <w:sz w:val="32"/>
          <w:szCs w:val="32"/>
        </w:rPr>
        <w:t>Узнайте, какие факторы влияют на долгосрочность планирования бизнес-процессов</w:t>
      </w:r>
    </w:p>
    <w:p w:rsidR="00813522" w:rsidRDefault="00813522" w:rsidP="00813522">
      <w:pPr>
        <w:pStyle w:val="2"/>
        <w:shd w:val="clear" w:color="auto" w:fill="FFFFFF"/>
        <w:spacing w:before="400" w:beforeAutospacing="0" w:after="250" w:afterAutospacing="0"/>
        <w:rPr>
          <w:rFonts w:ascii="Helvetica" w:hAnsi="Helvetica"/>
          <w:color w:val="333333"/>
          <w:sz w:val="54"/>
          <w:szCs w:val="54"/>
        </w:rPr>
      </w:pPr>
      <w:r>
        <w:rPr>
          <w:rFonts w:ascii="Helvetica" w:hAnsi="Helvetica"/>
          <w:color w:val="333333"/>
          <w:sz w:val="54"/>
          <w:szCs w:val="54"/>
        </w:rPr>
        <w:t>Виды горизонтов планирования</w:t>
      </w:r>
    </w:p>
    <w:p w:rsidR="00813522" w:rsidRDefault="00813522" w:rsidP="00813522">
      <w:pPr>
        <w:pStyle w:val="a3"/>
        <w:shd w:val="clear" w:color="auto" w:fill="FFFFFF"/>
        <w:spacing w:before="0" w:beforeAutospacing="0" w:after="39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Существует четыре вида горизонтов планирования:</w:t>
      </w:r>
    </w:p>
    <w:p w:rsidR="00813522" w:rsidRDefault="00813522" w:rsidP="00813522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краткосрочный (3-5 лет);</w:t>
      </w:r>
    </w:p>
    <w:p w:rsidR="00813522" w:rsidRDefault="00813522" w:rsidP="00813522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среднесрочный (5-10 лет);</w:t>
      </w:r>
    </w:p>
    <w:p w:rsidR="00813522" w:rsidRDefault="00813522" w:rsidP="00813522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долгосрочный (10-15 лет);</w:t>
      </w:r>
    </w:p>
    <w:p w:rsidR="00813522" w:rsidRDefault="00813522" w:rsidP="00813522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неопределенный.</w:t>
      </w:r>
    </w:p>
    <w:p w:rsidR="00813522" w:rsidRDefault="00813522" w:rsidP="00813522">
      <w:pPr>
        <w:pStyle w:val="2"/>
        <w:shd w:val="clear" w:color="auto" w:fill="FFFFFF"/>
        <w:spacing w:before="400" w:beforeAutospacing="0" w:after="250" w:afterAutospacing="0"/>
        <w:rPr>
          <w:rFonts w:ascii="Helvetica" w:hAnsi="Helvetica"/>
          <w:color w:val="333333"/>
          <w:sz w:val="54"/>
          <w:szCs w:val="54"/>
        </w:rPr>
      </w:pPr>
      <w:r>
        <w:rPr>
          <w:rFonts w:ascii="Helvetica" w:hAnsi="Helvetica"/>
          <w:color w:val="333333"/>
          <w:sz w:val="54"/>
          <w:szCs w:val="54"/>
        </w:rPr>
        <w:t>От чего зависит горизонт планирования</w:t>
      </w:r>
    </w:p>
    <w:p w:rsidR="00813522" w:rsidRDefault="00813522" w:rsidP="00813522">
      <w:pPr>
        <w:pStyle w:val="a3"/>
        <w:shd w:val="clear" w:color="auto" w:fill="FFFFFF"/>
        <w:spacing w:before="0" w:beforeAutospacing="0" w:after="39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В первую очередь, дальность горизонта планирования зависит от продукта или услуг, которые предоставляет компания. Тем не менее, даже конкуренты в узкой нише могут иметь разные горизонты планирования, ведь это зависит еще и от компетенции </w:t>
      </w:r>
      <w:proofErr w:type="gramStart"/>
      <w:r>
        <w:rPr>
          <w:rFonts w:ascii="Helvetica" w:hAnsi="Helvetica"/>
          <w:color w:val="333333"/>
        </w:rPr>
        <w:t>сотрудников</w:t>
      </w:r>
      <w:proofErr w:type="gramEnd"/>
      <w:r>
        <w:rPr>
          <w:rFonts w:ascii="Helvetica" w:hAnsi="Helvetica"/>
          <w:color w:val="333333"/>
        </w:rPr>
        <w:t xml:space="preserve"> и от своевременности принятия решений руководства.</w:t>
      </w:r>
    </w:p>
    <w:p w:rsidR="00813522" w:rsidRDefault="00813522" w:rsidP="00813522">
      <w:pPr>
        <w:pStyle w:val="a3"/>
        <w:shd w:val="clear" w:color="auto" w:fill="FFFFFF"/>
        <w:spacing w:before="0" w:beforeAutospacing="0" w:after="39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Факторы, которые влияют на горизонт планирования, можно объединить в две группы — организационные и управленческие. Давайте рассмотрим каждую группу.</w:t>
      </w:r>
    </w:p>
    <w:p w:rsidR="00813522" w:rsidRDefault="00813522" w:rsidP="00813522">
      <w:pPr>
        <w:pStyle w:val="3"/>
        <w:shd w:val="clear" w:color="auto" w:fill="FFFFFF"/>
        <w:spacing w:before="400" w:after="250"/>
        <w:rPr>
          <w:rFonts w:ascii="Helvetica" w:hAnsi="Helvetica"/>
          <w:color w:val="333333"/>
          <w:sz w:val="42"/>
          <w:szCs w:val="42"/>
        </w:rPr>
      </w:pPr>
      <w:r>
        <w:rPr>
          <w:rFonts w:ascii="Helvetica" w:hAnsi="Helvetica"/>
          <w:color w:val="333333"/>
          <w:sz w:val="42"/>
          <w:szCs w:val="42"/>
        </w:rPr>
        <w:t>Организационные факторы</w:t>
      </w:r>
    </w:p>
    <w:p w:rsidR="00813522" w:rsidRDefault="00813522" w:rsidP="00813522">
      <w:pPr>
        <w:pStyle w:val="a3"/>
        <w:shd w:val="clear" w:color="auto" w:fill="FFFFFF"/>
        <w:spacing w:before="0" w:beforeAutospacing="0" w:after="39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Организационные факторы определяют, насколько далеко стоит планировать бизнес-процессы, чтобы сохранить рост прибыли. Они включают</w:t>
      </w:r>
    </w:p>
    <w:p w:rsidR="00813522" w:rsidRDefault="00813522" w:rsidP="00813522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цели компании и время, которое требуется для их достижения;</w:t>
      </w:r>
    </w:p>
    <w:p w:rsidR="00813522" w:rsidRDefault="00813522" w:rsidP="00813522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Helvetica" w:hAnsi="Helvetica"/>
          <w:color w:val="333333"/>
        </w:rPr>
      </w:pPr>
      <w:hyperlink r:id="rId9" w:history="1">
        <w:r>
          <w:rPr>
            <w:rStyle w:val="a5"/>
            <w:rFonts w:ascii="Helvetica" w:hAnsi="Helvetica"/>
            <w:color w:val="009FC1"/>
          </w:rPr>
          <w:t>жизненный цикл товара</w:t>
        </w:r>
      </w:hyperlink>
      <w:r>
        <w:rPr>
          <w:rFonts w:ascii="Helvetica" w:hAnsi="Helvetica"/>
          <w:color w:val="333333"/>
        </w:rPr>
        <w:t> или услуги;</w:t>
      </w:r>
    </w:p>
    <w:p w:rsidR="00813522" w:rsidRDefault="00813522" w:rsidP="00813522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lastRenderedPageBreak/>
        <w:t>анализ темпов роста компании, прогнозирование развития, учет жизненного цикла компании;</w:t>
      </w:r>
    </w:p>
    <w:p w:rsidR="00813522" w:rsidRDefault="00813522" w:rsidP="00813522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скорость развития технологий и потребности в модернизации оборудования, необходимого для производства продукции;</w:t>
      </w:r>
    </w:p>
    <w:p w:rsidR="00813522" w:rsidRDefault="00813522" w:rsidP="00813522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потенциальное расширение штата, которое влечет за собой дополнительные траты на зарплаты и необходимость аренды или покупки дополнительной офисной и складской площади;</w:t>
      </w:r>
    </w:p>
    <w:p w:rsidR="00813522" w:rsidRDefault="00813522" w:rsidP="00813522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сезонность продукции и ее ценность для </w:t>
      </w:r>
      <w:hyperlink r:id="rId10" w:history="1">
        <w:r>
          <w:rPr>
            <w:rStyle w:val="a5"/>
            <w:rFonts w:ascii="Helvetica" w:hAnsi="Helvetica"/>
            <w:color w:val="009FC1"/>
          </w:rPr>
          <w:t>целевого рынка</w:t>
        </w:r>
      </w:hyperlink>
      <w:r>
        <w:rPr>
          <w:rFonts w:ascii="Helvetica" w:hAnsi="Helvetica"/>
          <w:color w:val="333333"/>
        </w:rPr>
        <w:t>.</w:t>
      </w:r>
    </w:p>
    <w:p w:rsidR="00813522" w:rsidRDefault="00813522" w:rsidP="00813522">
      <w:pPr>
        <w:pStyle w:val="3"/>
        <w:shd w:val="clear" w:color="auto" w:fill="FFFFFF"/>
        <w:spacing w:before="400" w:after="250"/>
        <w:rPr>
          <w:rFonts w:ascii="Helvetica" w:hAnsi="Helvetica"/>
          <w:color w:val="333333"/>
          <w:sz w:val="42"/>
          <w:szCs w:val="42"/>
        </w:rPr>
      </w:pPr>
      <w:r>
        <w:rPr>
          <w:rFonts w:ascii="Helvetica" w:hAnsi="Helvetica"/>
          <w:color w:val="333333"/>
          <w:sz w:val="42"/>
          <w:szCs w:val="42"/>
        </w:rPr>
        <w:t>Управленческие факторы</w:t>
      </w:r>
    </w:p>
    <w:p w:rsidR="00813522" w:rsidRDefault="00813522" w:rsidP="00813522">
      <w:pPr>
        <w:pStyle w:val="a3"/>
        <w:shd w:val="clear" w:color="auto" w:fill="FFFFFF"/>
        <w:spacing w:before="0" w:beforeAutospacing="0" w:after="39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Управленческие факторы определяют, насколько далеко компания способна планировать, учитывая потенциал доступного человеческого ресурса. К таким факторам относятся:</w:t>
      </w:r>
    </w:p>
    <w:p w:rsidR="00813522" w:rsidRDefault="00813522" w:rsidP="00813522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компетентность и профессионализм персонала на всех уровнях;</w:t>
      </w:r>
    </w:p>
    <w:p w:rsidR="00813522" w:rsidRDefault="00813522" w:rsidP="00813522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то, насколько компания готова рисковать, чтобы обойти конкурентов в нише;</w:t>
      </w:r>
    </w:p>
    <w:p w:rsidR="00813522" w:rsidRDefault="00813522" w:rsidP="00813522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факторы внутренней и внешней </w:t>
      </w:r>
      <w:hyperlink r:id="rId11" w:history="1">
        <w:r>
          <w:rPr>
            <w:rStyle w:val="a5"/>
            <w:rFonts w:ascii="Helvetica" w:hAnsi="Helvetica"/>
            <w:color w:val="009FC1"/>
          </w:rPr>
          <w:t>маркетинговой среды</w:t>
        </w:r>
      </w:hyperlink>
      <w:r>
        <w:rPr>
          <w:rFonts w:ascii="Helvetica" w:hAnsi="Helvetica"/>
          <w:color w:val="333333"/>
        </w:rPr>
        <w:t>;</w:t>
      </w:r>
    </w:p>
    <w:p w:rsidR="00813522" w:rsidRDefault="00813522" w:rsidP="00813522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качество и глубина </w:t>
      </w:r>
      <w:hyperlink r:id="rId12" w:history="1">
        <w:r>
          <w:rPr>
            <w:rStyle w:val="a5"/>
            <w:rFonts w:ascii="Helvetica" w:hAnsi="Helvetica"/>
            <w:color w:val="009FC1"/>
          </w:rPr>
          <w:t>маркетинговых исследований</w:t>
        </w:r>
      </w:hyperlink>
      <w:r>
        <w:rPr>
          <w:rFonts w:ascii="Helvetica" w:hAnsi="Helvetica"/>
          <w:color w:val="333333"/>
        </w:rPr>
        <w:t>, на которые полагается компания, чтобы определить свое положение на рынке, точки роста и риски.</w:t>
      </w:r>
    </w:p>
    <w:p w:rsidR="00813522" w:rsidRDefault="00813522" w:rsidP="00813522">
      <w:pPr>
        <w:pStyle w:val="a3"/>
        <w:shd w:val="clear" w:color="auto" w:fill="FFFFFF"/>
        <w:spacing w:before="0" w:beforeAutospacing="0" w:after="39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В целом горизонт планирования может быть долгосрочным только в странах со стабильной политической и экономической ситуацией, без военных и крупных общественных конфликтов. В противном случае, планировать надолго не имеет смысла, так как в любой момент ситуация на рынке и в экономике может резко измениться, а ресурсы, потраченные на стратегическое планирование, будут потрачены впустую.</w:t>
      </w:r>
    </w:p>
    <w:p w:rsidR="00813522" w:rsidRDefault="00813522">
      <w:bookmarkStart w:id="0" w:name="_GoBack"/>
      <w:bookmarkEnd w:id="0"/>
    </w:p>
    <w:sectPr w:rsidR="0081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529D"/>
    <w:multiLevelType w:val="multilevel"/>
    <w:tmpl w:val="3554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60CED"/>
    <w:multiLevelType w:val="multilevel"/>
    <w:tmpl w:val="2810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07891"/>
    <w:multiLevelType w:val="multilevel"/>
    <w:tmpl w:val="459A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D1F89"/>
    <w:multiLevelType w:val="multilevel"/>
    <w:tmpl w:val="11A2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514E4"/>
    <w:multiLevelType w:val="multilevel"/>
    <w:tmpl w:val="4C02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FC"/>
    <w:rsid w:val="00295E40"/>
    <w:rsid w:val="00813522"/>
    <w:rsid w:val="00826AB6"/>
    <w:rsid w:val="00E31DFC"/>
    <w:rsid w:val="00F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B8BD"/>
  <w15:chartTrackingRefBased/>
  <w15:docId w15:val="{F19636DA-EB7E-4BF0-A318-B34FAD8A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3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31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5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1D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DF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35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35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ead">
    <w:name w:val="lead"/>
    <w:basedOn w:val="a"/>
    <w:rsid w:val="0081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3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sendpulse.kz/support/glossary/marketing-re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endpulse.kz/support/glossary/marketing-environmen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endpulse.kz/support/glossary/target-mark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ndpulse.kz/support/glossary/product-life-cyc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anelt</dc:creator>
  <cp:keywords/>
  <dc:description/>
  <cp:lastModifiedBy>anelt</cp:lastModifiedBy>
  <cp:revision>2</cp:revision>
  <cp:lastPrinted>2021-10-07T08:19:00Z</cp:lastPrinted>
  <dcterms:created xsi:type="dcterms:W3CDTF">2021-10-07T08:07:00Z</dcterms:created>
  <dcterms:modified xsi:type="dcterms:W3CDTF">2021-10-07T08:21:00Z</dcterms:modified>
</cp:coreProperties>
</file>